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</w:rPr>
      </w:pPr>
      <w:r>
        <w:rPr/>
        <w:drawing>
          <wp:inline distT="0" distB="0" distL="0" distR="0">
            <wp:extent cx="437515" cy="6464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sz w:val="28"/>
          <w:szCs w:val="28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28"/>
          <w:szCs w:val="28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32"/>
          <w:szCs w:val="32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32"/>
          <w:szCs w:val="32"/>
        </w:rPr>
      </w:r>
    </w:p>
    <w:p>
      <w:pPr>
        <w:pStyle w:val="Normal"/>
        <w:overflowPunct w:val="true"/>
        <w:jc w:val="center"/>
        <w:textAlignment w:val="baseline"/>
        <w:rPr>
          <w:rFonts w:ascii="Liberation Serif;Times New Roman" w:hAnsi="Liberation Serif;Times New Roman" w:cs="Liberation Serif;Times New Roman"/>
          <w:b/>
          <w:color w:val="000000"/>
          <w:sz w:val="32"/>
          <w:szCs w:val="32"/>
        </w:rPr>
      </w:pPr>
      <w:r>
        <w:rPr>
          <w:rFonts w:cs="Liberation Serif;Times New Roman" w:ascii="Liberation Serif;Times New Roman" w:hAnsi="Liberation Serif;Times New Roman"/>
          <w:b/>
          <w:color w:val="000000"/>
          <w:sz w:val="32"/>
          <w:szCs w:val="32"/>
        </w:rPr>
        <w:t>П О С Т А Н О В Л Е Н И Е</w:t>
      </w:r>
    </w:p>
    <w:tbl>
      <w:tblPr>
        <w:tblW w:w="9518" w:type="dxa"/>
        <w:jc w:val="start"/>
        <w:tblInd w:w="168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9518"/>
      </w:tblGrid>
      <w:tr>
        <w:trPr>
          <w:trHeight w:val="624" w:hRule="atLeast"/>
        </w:trPr>
        <w:tc>
          <w:tcPr>
            <w:tcW w:w="9518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before="0" w:after="0"/>
              <w:ind w:hanging="0" w:start="-57" w:end="0"/>
              <w:jc w:val="star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Liberation Serif;Times New Roman" w:ascii="Liberation Serif" w:hAnsi="Liberation Serif"/>
                <w:sz w:val="24"/>
                <w:szCs w:val="24"/>
                <w:lang w:eastAsia="en-US"/>
              </w:rPr>
              <w:t>от 05.12.2025                                            п.г.т. Тугулым                                                  № 809</w:t>
            </w:r>
          </w:p>
        </w:tc>
      </w:tr>
    </w:tbl>
    <w:p>
      <w:pPr>
        <w:pStyle w:val="ConsPlusTitle"/>
        <w:spacing w:lineRule="auto" w:line="24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Title"/>
        <w:spacing w:lineRule="auto" w:line="240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Об утверждении Порядка использования бюджетных ассигнований резервного фонда администрации Тугулымского </w:t>
      </w:r>
      <w:r>
        <w:rPr>
          <w:rFonts w:ascii="Liberation Serif" w:hAnsi="Liberation Serif"/>
          <w:lang w:val="ru-RU"/>
        </w:rPr>
        <w:t>муниципального</w:t>
      </w:r>
      <w:r>
        <w:rPr>
          <w:rFonts w:ascii="Liberation Serif" w:hAnsi="Liberation Serif"/>
        </w:rPr>
        <w:t xml:space="preserve"> округа</w:t>
      </w:r>
      <w:r>
        <w:rPr>
          <w:rFonts w:ascii="Liberation Serif" w:hAnsi="Liberation Serif"/>
          <w:lang w:val="ru-RU"/>
        </w:rPr>
        <w:t xml:space="preserve"> </w:t>
      </w:r>
    </w:p>
    <w:p>
      <w:pPr>
        <w:pStyle w:val="ConsPlusTitle"/>
        <w:spacing w:lineRule="auto" w:line="240"/>
        <w:jc w:val="center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</w:r>
    </w:p>
    <w:p>
      <w:pPr>
        <w:pStyle w:val="ConsPlusTitle"/>
        <w:spacing w:lineRule="auto" w:line="240"/>
        <w:jc w:val="center"/>
        <w:rPr>
          <w:rFonts w:ascii="Liberation Serif" w:hAnsi="Liberation Serif" w:cs="Times New Roman"/>
          <w:sz w:val="24"/>
          <w:szCs w:val="24"/>
          <w:lang w:val="ru-RU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 w:before="0" w:after="0"/>
        <w:ind w:firstLine="539"/>
        <w:jc w:val="both"/>
        <w:textAlignment w:val="auto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</w:rPr>
        <w:t>В соответствии с</w:t>
      </w:r>
      <w:r>
        <w:rPr>
          <w:rFonts w:eastAsia="Times New Roman" w:ascii="Liberation Serif" w:hAnsi="Liberation Serif"/>
          <w:sz w:val="24"/>
          <w:szCs w:val="24"/>
          <w:lang w:val="ru-RU"/>
        </w:rPr>
        <w:t>о статьей 81</w:t>
      </w:r>
      <w:r>
        <w:rPr>
          <w:rFonts w:eastAsia="Times New Roman" w:ascii="Liberation Serif" w:hAnsi="Liberation Serif"/>
          <w:sz w:val="24"/>
          <w:szCs w:val="24"/>
        </w:rPr>
        <w:t xml:space="preserve"> </w:t>
      </w:r>
      <w:r>
        <w:rPr>
          <w:rFonts w:eastAsia="Times New Roman" w:ascii="Liberation Serif" w:hAnsi="Liberation Serif"/>
          <w:sz w:val="24"/>
          <w:szCs w:val="24"/>
          <w:lang w:val="ru-RU"/>
        </w:rPr>
        <w:t>Бюджетного кодекса Российской Федерации</w:t>
      </w:r>
      <w:r>
        <w:rPr>
          <w:rFonts w:eastAsia="Times New Roman" w:ascii="Liberation Serif" w:hAnsi="Liberation Serif"/>
          <w:sz w:val="24"/>
          <w:szCs w:val="24"/>
        </w:rPr>
        <w:t>,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 </w:t>
      </w:r>
      <w:r>
        <w:rPr>
          <w:rFonts w:cs="Times New Roman" w:ascii="Liberation Serif" w:hAnsi="Liberation Serif"/>
          <w:sz w:val="24"/>
          <w:szCs w:val="24"/>
        </w:rPr>
        <w:t>руководствуясь подпунктом 1</w:t>
      </w:r>
      <w:r>
        <w:rPr>
          <w:rFonts w:cs="Times New Roman" w:ascii="Liberation Serif" w:hAnsi="Liberation Serif"/>
          <w:sz w:val="24"/>
          <w:szCs w:val="24"/>
          <w:lang w:val="ru-RU"/>
        </w:rPr>
        <w:t>7</w:t>
      </w:r>
      <w:r>
        <w:rPr>
          <w:rFonts w:cs="Times New Roman" w:ascii="Liberation Serif" w:hAnsi="Liberation Serif"/>
          <w:sz w:val="24"/>
          <w:szCs w:val="24"/>
        </w:rPr>
        <w:t xml:space="preserve"> пункта 1 статьи 9 Положения о бюджетном процессе в Тугулымском 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муниципальном округе Свердловской области, утвержденного решением Думы Тугулымского муниципального округа Свердловской области от 31 января 2025 года № 2, Уставом Тугулымского муниципального округа Свердловской области,  </w:t>
      </w:r>
      <w:r>
        <w:rPr>
          <w:rFonts w:eastAsia="Times New Roman" w:ascii="Liberation Serif" w:hAnsi="Liberation Serif"/>
          <w:sz w:val="24"/>
          <w:szCs w:val="24"/>
        </w:rPr>
        <w:t xml:space="preserve">администрация 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Тугулымского муниципального </w:t>
      </w:r>
      <w:r>
        <w:rPr>
          <w:rFonts w:eastAsia="Times New Roman" w:ascii="Liberation Serif" w:hAnsi="Liberation Serif"/>
          <w:sz w:val="24"/>
          <w:szCs w:val="24"/>
        </w:rPr>
        <w:t>округа</w:t>
      </w:r>
    </w:p>
    <w:p>
      <w:pPr>
        <w:pStyle w:val="Normal"/>
        <w:spacing w:lineRule="auto" w:line="240" w:before="0" w:after="0"/>
        <w:ind w:firstLine="540"/>
        <w:jc w:val="both"/>
        <w:rPr>
          <w:rFonts w:ascii="Liberation Serif" w:hAnsi="Liberation Serif" w:eastAsia="Times New Roman"/>
          <w:sz w:val="24"/>
          <w:szCs w:val="24"/>
          <w:lang w:val="ru-RU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ind w:hanging="0" w:start="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/>
          <w:bCs/>
          <w:sz w:val="24"/>
          <w:szCs w:val="24"/>
          <w:lang w:val="ru-RU"/>
        </w:rPr>
        <w:t>ПОСТАНОВЛЯЕТ</w:t>
      </w:r>
      <w:r>
        <w:rPr>
          <w:rFonts w:eastAsia="Times New Roman" w:ascii="Liberation Serif" w:hAnsi="Liberation Serif"/>
          <w:b/>
          <w:bCs/>
          <w:sz w:val="24"/>
          <w:szCs w:val="24"/>
        </w:rPr>
        <w:t>:</w:t>
      </w:r>
    </w:p>
    <w:p>
      <w:pPr>
        <w:pStyle w:val="Normal"/>
        <w:spacing w:lineRule="auto" w:line="240" w:before="0" w:after="0"/>
        <w:ind w:firstLine="54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 w:val="false"/>
          <w:bCs w:val="false"/>
          <w:sz w:val="24"/>
          <w:szCs w:val="24"/>
          <w:lang w:val="ru-RU"/>
        </w:rPr>
        <w:t xml:space="preserve"> </w:t>
      </w:r>
    </w:p>
    <w:p>
      <w:pPr>
        <w:pStyle w:val="Normal"/>
        <w:keepNext w:val="false"/>
        <w:keepLines w:val="false"/>
        <w:pageBreakBefore w:val="false"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jc w:val="both"/>
        <w:textAlignment w:val="auto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 </w:t>
      </w:r>
      <w:r>
        <w:rPr>
          <w:rFonts w:eastAsia="Times New Roman" w:ascii="Liberation Serif" w:hAnsi="Liberation Serif"/>
          <w:sz w:val="24"/>
          <w:szCs w:val="24"/>
          <w:lang w:val="ru-RU"/>
        </w:rPr>
        <w:tab/>
        <w:t>1. Утвердить Порядок использования бюджетных ассигнований резервного фонда администрации Тугулымского муниципального округа (прилагается).</w:t>
      </w:r>
    </w:p>
    <w:p>
      <w:pPr>
        <w:pStyle w:val="ConsPlusTitle"/>
        <w:numPr>
          <w:ilvl w:val="0"/>
          <w:numId w:val="0"/>
        </w:numPr>
        <w:spacing w:lineRule="auto" w:line="240"/>
        <w:ind w:hanging="0" w:start="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 w:val="false"/>
          <w:bCs w:val="false"/>
          <w:sz w:val="24"/>
          <w:szCs w:val="24"/>
          <w:lang w:val="ru-RU"/>
        </w:rPr>
        <w:t xml:space="preserve"> </w:t>
      </w:r>
      <w:r>
        <w:rPr>
          <w:rFonts w:eastAsia="Times New Roman" w:ascii="Liberation Serif" w:hAnsi="Liberation Serif"/>
          <w:b w:val="false"/>
          <w:bCs w:val="false"/>
          <w:sz w:val="24"/>
          <w:szCs w:val="24"/>
          <w:lang w:val="ru-RU"/>
        </w:rPr>
        <w:tab/>
        <w:t>2.  Постановление администрации Тугулымского городского округа от 4 июня 2019 года № 163 «</w:t>
      </w:r>
      <w:r>
        <w:rPr>
          <w:rFonts w:ascii="Liberation Serif" w:hAnsi="Liberation Serif"/>
          <w:b w:val="false"/>
          <w:bCs w:val="false"/>
        </w:rPr>
        <w:t>Об утверждении Порядка использования бюджетных ассигнований резервного фонда администрации Тугулымского городского округа</w:t>
      </w:r>
      <w:r>
        <w:rPr>
          <w:rFonts w:ascii="Liberation Serif" w:hAnsi="Liberation Serif"/>
          <w:b w:val="false"/>
          <w:bCs w:val="false"/>
          <w:lang w:val="ru-RU"/>
        </w:rPr>
        <w:t>» признать утратившим силу.</w:t>
      </w:r>
    </w:p>
    <w:p>
      <w:pPr>
        <w:pStyle w:val="Normal"/>
        <w:keepNext w:val="false"/>
        <w:keepLines w:val="false"/>
        <w:pageBreakBefore w:val="false"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jc w:val="both"/>
        <w:textAlignment w:val="auto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 </w:t>
      </w:r>
      <w:r>
        <w:rPr>
          <w:rFonts w:eastAsia="Times New Roman" w:ascii="Liberation Serif" w:hAnsi="Liberation Serif"/>
          <w:sz w:val="24"/>
          <w:szCs w:val="24"/>
          <w:lang w:val="ru-RU"/>
        </w:rPr>
        <w:tab/>
        <w:t>3.   Настоящее постановление вступает в силу после его подписания .</w:t>
      </w:r>
    </w:p>
    <w:p>
      <w:pPr>
        <w:pStyle w:val="Normal"/>
        <w:keepNext w:val="false"/>
        <w:keepLines w:val="false"/>
        <w:pageBreakBefore w:val="false"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jc w:val="both"/>
        <w:textAlignment w:val="auto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 </w:t>
      </w:r>
      <w:r>
        <w:rPr>
          <w:rFonts w:eastAsia="Times New Roman" w:ascii="Liberation Serif" w:hAnsi="Liberation Serif"/>
          <w:sz w:val="24"/>
          <w:szCs w:val="24"/>
          <w:lang w:val="ru-RU"/>
        </w:rPr>
        <w:tab/>
        <w:t>4. Настоящее постановление опубликовать на официальном сайте администрации Тугулымского муниципального округа.</w:t>
      </w:r>
    </w:p>
    <w:p>
      <w:pPr>
        <w:pStyle w:val="Normal"/>
        <w:keepNext w:val="false"/>
        <w:keepLines w:val="false"/>
        <w:pageBreakBefore w:val="false"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jc w:val="both"/>
        <w:textAlignment w:val="auto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 </w:t>
      </w:r>
      <w:r>
        <w:rPr>
          <w:rFonts w:eastAsia="Times New Roman" w:ascii="Liberation Serif" w:hAnsi="Liberation Serif"/>
          <w:sz w:val="24"/>
          <w:szCs w:val="24"/>
          <w:lang w:val="ru-RU"/>
        </w:rPr>
        <w:tab/>
        <w:t>5.   Контроль исполнения постановления оставляю за собой.</w:t>
      </w:r>
    </w:p>
    <w:p>
      <w:pPr>
        <w:pStyle w:val="Normal"/>
        <w:keepNext w:val="false"/>
        <w:keepLines w:val="false"/>
        <w:pageBreakBefore w:val="false"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textAlignment w:val="auto"/>
        <w:rPr>
          <w:rFonts w:ascii="Liberation Serif" w:hAnsi="Liberation Serif" w:eastAsia="Times New Roman"/>
          <w:sz w:val="24"/>
          <w:szCs w:val="24"/>
          <w:lang w:val="ru-RU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</w:r>
    </w:p>
    <w:p>
      <w:pPr>
        <w:pStyle w:val="Normal"/>
        <w:keepNext w:val="false"/>
        <w:keepLines w:val="false"/>
        <w:pageBreakBefore w:val="false"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textAlignment w:val="auto"/>
        <w:rPr>
          <w:rFonts w:ascii="Liberation Serif" w:hAnsi="Liberation Serif" w:eastAsia="Times New Roman"/>
          <w:sz w:val="24"/>
          <w:szCs w:val="24"/>
          <w:lang w:val="ru-RU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</w:r>
    </w:p>
    <w:p>
      <w:pPr>
        <w:pStyle w:val="Normal"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textAlignment w:val="auto"/>
        <w:rPr>
          <w:rFonts w:ascii="Liberation Serif" w:hAnsi="Liberation Serif" w:eastAsia="Times New Roman"/>
          <w:sz w:val="24"/>
          <w:szCs w:val="24"/>
          <w:lang w:val="ru-RU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</w:r>
    </w:p>
    <w:p>
      <w:pPr>
        <w:pStyle w:val="Normal"/>
        <w:keepNext w:val="false"/>
        <w:keepLines w:val="false"/>
        <w:pageBreakBefore w:val="false"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textAlignment w:val="auto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>Глава</w:t>
      </w:r>
    </w:p>
    <w:p>
      <w:pPr>
        <w:pStyle w:val="Normal"/>
        <w:keepNext w:val="false"/>
        <w:keepLines w:val="false"/>
        <w:pageBreakBefore w:val="false"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textAlignment w:val="auto"/>
        <w:rPr>
          <w:rFonts w:ascii="Liberation Serif" w:hAnsi="Liberation Serif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>Тугулымского муниципального округа                                                                   А.Н. Поздеев</w:t>
      </w:r>
    </w:p>
    <w:p>
      <w:pPr>
        <w:pStyle w:val="ConsPlusTitle"/>
        <w:keepNext w:val="false"/>
        <w:keepLines w:val="false"/>
        <w:pageBreakBefore w:val="false"/>
        <w:overflowPunct w:val="false"/>
        <w:bidi w:val="0"/>
        <w:snapToGrid w:val="true"/>
        <w:spacing w:lineRule="auto" w:line="240"/>
        <w:jc w:val="both"/>
        <w:textAlignment w:val="auto"/>
        <w:rPr>
          <w:rFonts w:ascii="Liberation Serif" w:hAnsi="Liberation Serif"/>
        </w:rPr>
      </w:pPr>
      <w:r>
        <w:rPr>
          <w:rFonts w:ascii="Liberation Serif" w:hAnsi="Liberation Serif"/>
          <w:b w:val="false"/>
          <w:bCs w:val="false"/>
          <w:lang w:val="ru-RU"/>
        </w:rPr>
        <w:t xml:space="preserve">      </w:t>
      </w:r>
    </w:p>
    <w:p>
      <w:pPr>
        <w:pStyle w:val="ConsPlusTitle"/>
        <w:keepNext w:val="false"/>
        <w:keepLines w:val="false"/>
        <w:pageBreakBefore w:val="false"/>
        <w:overflowPunct w:val="false"/>
        <w:bidi w:val="0"/>
        <w:snapToGrid w:val="true"/>
        <w:spacing w:lineRule="auto" w:line="240"/>
        <w:jc w:val="center"/>
        <w:textAlignment w:val="auto"/>
        <w:rPr>
          <w:rFonts w:ascii="Liberation Serif" w:hAnsi="Liberation Serif"/>
          <w:lang w:val="ru-RU"/>
        </w:rPr>
      </w:pPr>
      <w:r>
        <w:rPr>
          <w:rFonts w:ascii="Liberation Serif" w:hAnsi="Liberation Serif"/>
          <w:lang w:val="ru-RU"/>
        </w:rPr>
      </w:r>
    </w:p>
    <w:p>
      <w:pPr>
        <w:pStyle w:val="ConsPlusTitle"/>
        <w:numPr>
          <w:ilvl w:val="0"/>
          <w:numId w:val="0"/>
        </w:numPr>
        <w:ind w:hanging="0" w:start="720"/>
        <w:jc w:val="both"/>
        <w:rPr>
          <w:rFonts w:ascii="Times New Roman" w:hAnsi="Times New Roman"/>
          <w:b w:val="false"/>
          <w:bCs w:val="false"/>
          <w:color w:val="auto"/>
          <w:lang w:val="ru-RU"/>
        </w:rPr>
      </w:pPr>
      <w:r>
        <w:rPr>
          <w:rFonts w:ascii="Times New Roman" w:hAnsi="Times New Roman"/>
          <w:b w:val="false"/>
          <w:bCs w:val="false"/>
          <w:color w:val="auto"/>
          <w:lang w:val="ru-RU"/>
        </w:rPr>
      </w:r>
    </w:p>
    <w:p>
      <w:pPr>
        <w:pStyle w:val="Normal"/>
        <w:numPr>
          <w:ilvl w:val="0"/>
          <w:numId w:val="0"/>
        </w:numPr>
        <w:spacing w:before="0" w:after="0"/>
        <w:ind w:hanging="0" w:start="0"/>
        <w:jc w:val="both"/>
        <w:rPr>
          <w:rFonts w:ascii="Times New Roman" w:hAnsi="Times New Roman" w:eastAsia="Times New Roman"/>
          <w:b w:val="false"/>
          <w:bCs w:val="false"/>
          <w:sz w:val="24"/>
          <w:szCs w:val="24"/>
          <w:lang w:val="ru-RU"/>
        </w:rPr>
      </w:pPr>
      <w:r>
        <w:rPr>
          <w:rFonts w:eastAsia="Times New Roman" w:ascii="Times New Roman" w:hAnsi="Times New Roman"/>
          <w:b w:val="false"/>
          <w:bCs w:val="false"/>
          <w:sz w:val="24"/>
          <w:szCs w:val="24"/>
          <w:lang w:val="ru-RU"/>
        </w:rPr>
      </w:r>
    </w:p>
    <w:p>
      <w:pPr>
        <w:pStyle w:val="Normal"/>
        <w:jc w:val="both"/>
        <w:rPr>
          <w:rFonts w:ascii="Times New Roman" w:hAnsi="Times New Roman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Normal"/>
        <w:jc w:val="both"/>
        <w:rPr>
          <w:rFonts w:ascii="Times New Roman" w:hAnsi="Times New Roman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Normal"/>
        <w:jc w:val="both"/>
        <w:rPr>
          <w:rFonts w:ascii="Times New Roman" w:hAnsi="Times New Roman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Normal"/>
        <w:jc w:val="both"/>
        <w:rPr>
          <w:rFonts w:ascii="Times New Roman" w:hAnsi="Times New Roman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Normal"/>
        <w:jc w:val="both"/>
        <w:rPr>
          <w:rFonts w:ascii="Times New Roman" w:hAnsi="Times New Roman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Normal"/>
        <w:jc w:val="both"/>
        <w:rPr>
          <w:rFonts w:ascii="Times New Roman" w:hAnsi="Times New Roman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Normal"/>
        <w:jc w:val="both"/>
        <w:rPr>
          <w:rFonts w:ascii="Times New Roman" w:hAnsi="Times New Roman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Normal"/>
        <w:jc w:val="both"/>
        <w:rPr>
          <w:rFonts w:ascii="Times New Roman" w:hAnsi="Times New Roman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ConsPlusNormal"/>
        <w:numPr>
          <w:ilvl w:val="0"/>
          <w:numId w:val="0"/>
        </w:numPr>
        <w:ind w:hanging="0" w:start="0"/>
        <w:jc w:val="end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ind w:hanging="0" w:start="0"/>
        <w:jc w:val="end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ConsPlusNormal"/>
        <w:numPr>
          <w:ilvl w:val="0"/>
          <w:numId w:val="0"/>
        </w:numPr>
        <w:ind w:hanging="0" w:start="0"/>
        <w:jc w:val="end"/>
        <w:outlineLvl w:val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Утвержден</w:t>
      </w:r>
    </w:p>
    <w:p>
      <w:pPr>
        <w:pStyle w:val="ConsPlusNormal"/>
        <w:jc w:val="end"/>
        <w:rPr>
          <w:rFonts w:ascii="Liberation Serif" w:hAnsi="Liberation Serif"/>
        </w:rPr>
      </w:pPr>
      <w:r>
        <w:rPr>
          <w:rFonts w:ascii="Liberation Serif" w:hAnsi="Liberation Serif"/>
          <w:sz w:val="24"/>
          <w:szCs w:val="24"/>
        </w:rPr>
        <w:t>постановлением администрации</w:t>
      </w:r>
    </w:p>
    <w:p>
      <w:pPr>
        <w:pStyle w:val="Normal"/>
        <w:jc w:val="end"/>
        <w:rPr>
          <w:rFonts w:ascii="Liberation Serif" w:hAnsi="Liberation Serif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Liberation Serif" w:hAnsi="Liberation Serif"/>
          <w:b w:val="false"/>
          <w:bCs w:val="false"/>
          <w:kern w:val="2"/>
          <w:sz w:val="24"/>
          <w:szCs w:val="24"/>
          <w:lang w:val="ru-RU"/>
        </w:rPr>
        <w:t xml:space="preserve">Тугулымского муниципального округа </w:t>
      </w:r>
    </w:p>
    <w:p>
      <w:pPr>
        <w:pStyle w:val="Normal"/>
        <w:jc w:val="end"/>
        <w:rPr>
          <w:rFonts w:ascii="Liberation Serif" w:hAnsi="Liberation Serif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Liberation Serif" w:hAnsi="Liberation Serif"/>
          <w:b w:val="false"/>
          <w:bCs w:val="false"/>
          <w:kern w:val="2"/>
          <w:sz w:val="24"/>
          <w:szCs w:val="24"/>
          <w:lang w:val="ru-RU"/>
        </w:rPr>
        <w:t>от  05.12.2025 № 809</w:t>
      </w:r>
    </w:p>
    <w:p>
      <w:pPr>
        <w:pStyle w:val="Normal"/>
        <w:jc w:val="end"/>
        <w:rPr>
          <w:rFonts w:ascii="Liberation Serif" w:hAnsi="Liberation Serif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Liberation Serif" w:hAnsi="Liberation Serif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Normal"/>
        <w:jc w:val="end"/>
        <w:rPr>
          <w:rFonts w:ascii="Liberation Serif" w:hAnsi="Liberation Serif" w:eastAsia="Calibri" w:cs="Times New Roman"/>
          <w:b w:val="false"/>
          <w:bCs w:val="false"/>
          <w:kern w:val="2"/>
          <w:sz w:val="24"/>
          <w:szCs w:val="24"/>
          <w:lang w:val="ru-RU"/>
        </w:rPr>
      </w:pPr>
      <w:r>
        <w:rPr>
          <w:rFonts w:eastAsia="Calibri" w:cs="Times New Roman" w:ascii="Liberation Serif" w:hAnsi="Liberation Serif"/>
          <w:b w:val="false"/>
          <w:bCs w:val="false"/>
          <w:kern w:val="2"/>
          <w:sz w:val="24"/>
          <w:szCs w:val="24"/>
          <w:lang w:val="ru-RU"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eastAsia="Calibri" w:cs="Times New Roman" w:ascii="Liberation Serif" w:hAnsi="Liberation Serif"/>
          <w:b/>
          <w:bCs/>
          <w:kern w:val="2"/>
          <w:sz w:val="24"/>
          <w:szCs w:val="24"/>
          <w:lang w:val="ru-RU"/>
        </w:rPr>
        <w:t>Порядок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eastAsia="Calibri" w:cs="Times New Roman" w:ascii="Liberation Serif" w:hAnsi="Liberation Serif"/>
          <w:b/>
          <w:bCs/>
          <w:kern w:val="2"/>
          <w:sz w:val="24"/>
          <w:szCs w:val="24"/>
          <w:lang w:val="ru-RU"/>
        </w:rPr>
        <w:t xml:space="preserve"> </w:t>
      </w:r>
      <w:r>
        <w:rPr>
          <w:rFonts w:eastAsia="Calibri" w:cs="Times New Roman" w:ascii="Liberation Serif" w:hAnsi="Liberation Serif"/>
          <w:b/>
          <w:bCs/>
          <w:kern w:val="2"/>
          <w:sz w:val="24"/>
          <w:szCs w:val="24"/>
          <w:lang w:val="ru-RU"/>
        </w:rPr>
        <w:t xml:space="preserve">использования бюджетных ассигнований резервного фонда </w:t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eastAsia="Calibri" w:cs="Times New Roman" w:ascii="Liberation Serif" w:hAnsi="Liberation Serif"/>
          <w:b/>
          <w:bCs/>
          <w:kern w:val="2"/>
          <w:sz w:val="24"/>
          <w:szCs w:val="24"/>
          <w:lang w:val="ru-RU"/>
        </w:rPr>
        <w:t xml:space="preserve">администрации Тугулымского муниципального округа </w:t>
      </w:r>
    </w:p>
    <w:p>
      <w:pPr>
        <w:pStyle w:val="Normal"/>
        <w:jc w:val="center"/>
        <w:rPr>
          <w:rFonts w:ascii="Liberation Serif" w:hAnsi="Liberation Serif" w:eastAsia="Calibri" w:cs="Times New Roman"/>
          <w:b/>
          <w:bCs/>
          <w:kern w:val="2"/>
          <w:sz w:val="24"/>
          <w:szCs w:val="24"/>
          <w:lang w:val="ru-RU"/>
        </w:rPr>
      </w:pPr>
      <w:r>
        <w:rPr>
          <w:rFonts w:eastAsia="Calibri" w:cs="Times New Roman" w:ascii="Liberation Serif" w:hAnsi="Liberation Serif"/>
          <w:b/>
          <w:bCs/>
          <w:kern w:val="2"/>
          <w:sz w:val="24"/>
          <w:szCs w:val="24"/>
          <w:lang w:val="ru-RU"/>
        </w:rPr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suppressAutoHyphens w:val="true"/>
        <w:overflowPunct w:val="false"/>
        <w:bidi w:val="0"/>
        <w:snapToGrid w:val="true"/>
        <w:spacing w:lineRule="auto" w:line="240" w:before="0" w:after="0"/>
        <w:ind w:hanging="0" w:start="0" w:end="0"/>
        <w:jc w:val="both"/>
        <w:textAlignment w:val="auto"/>
        <w:rPr/>
      </w:pPr>
      <w:r>
        <w:rPr>
          <w:rFonts w:eastAsia="Times New Roman" w:ascii="Liberation Serif" w:hAnsi="Liberation Serif"/>
          <w:b w:val="false"/>
          <w:bCs/>
          <w:sz w:val="24"/>
          <w:szCs w:val="24"/>
        </w:rPr>
        <w:t xml:space="preserve"> </w:t>
      </w:r>
      <w:r>
        <w:rPr>
          <w:rFonts w:eastAsia="Times New Roman" w:ascii="Liberation Serif" w:hAnsi="Liberation Serif"/>
          <w:b w:val="false"/>
          <w:bCs/>
          <w:sz w:val="24"/>
          <w:szCs w:val="24"/>
        </w:rPr>
        <w:tab/>
        <w:t xml:space="preserve">1. Настоящее Положение разработано в соответствии со </w:t>
      </w:r>
      <w:hyperlink r:id="rId3">
        <w:r>
          <w:rPr>
            <w:rStyle w:val="Style9"/>
            <w:rFonts w:eastAsia="Times New Roman" w:ascii="Liberation Serif" w:hAnsi="Liberation Serif"/>
            <w:b w:val="false"/>
            <w:bCs/>
            <w:color w:val="0000FF"/>
            <w:sz w:val="24"/>
            <w:szCs w:val="24"/>
          </w:rPr>
          <w:t>статьей 81</w:t>
        </w:r>
      </w:hyperlink>
      <w:r>
        <w:rPr>
          <w:rFonts w:eastAsia="Times New Roman" w:ascii="Liberation Serif" w:hAnsi="Liberation Serif"/>
          <w:b w:val="false"/>
          <w:bCs/>
          <w:sz w:val="24"/>
          <w:szCs w:val="24"/>
        </w:rPr>
        <w:t xml:space="preserve"> Бюджетного кодекса Российской Федерации и устанавливает порядок использования бюджетных ассигнований резервного фонда</w:t>
      </w:r>
      <w:r>
        <w:rPr>
          <w:rFonts w:eastAsia="Times New Roman" w:ascii="Liberation Serif" w:hAnsi="Liberation Serif"/>
          <w:b w:val="false"/>
          <w:bCs/>
          <w:sz w:val="24"/>
          <w:szCs w:val="24"/>
          <w:lang w:val="ru-RU"/>
        </w:rPr>
        <w:t xml:space="preserve"> администрации Тугулымского муниципального округа Свердловской области (далее - Тугулымского муниципального округа) .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hanging="0" w:start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 xml:space="preserve"> </w:t>
      </w:r>
      <w:r>
        <w:rPr>
          <w:rFonts w:eastAsia="Times New Roman" w:ascii="Liberation Serif" w:hAnsi="Liberation Serif"/>
          <w:sz w:val="24"/>
          <w:szCs w:val="24"/>
        </w:rPr>
        <w:tab/>
        <w:t xml:space="preserve">2. Размер резервного фонда </w:t>
      </w:r>
      <w:r>
        <w:rPr>
          <w:rFonts w:eastAsia="Times New Roman" w:ascii="Liberation Serif" w:hAnsi="Liberation Serif"/>
          <w:sz w:val="24"/>
          <w:szCs w:val="24"/>
          <w:lang w:val="ru-RU"/>
        </w:rPr>
        <w:t>а</w:t>
      </w:r>
      <w:r>
        <w:rPr>
          <w:rFonts w:eastAsia="Times New Roman" w:ascii="Liberation Serif" w:hAnsi="Liberation Serif"/>
          <w:sz w:val="24"/>
          <w:szCs w:val="24"/>
        </w:rPr>
        <w:t xml:space="preserve">дминистрации </w:t>
      </w:r>
      <w:r>
        <w:rPr>
          <w:rFonts w:eastAsia="Times New Roman" w:ascii="Liberation Serif" w:hAnsi="Liberation Serif"/>
          <w:sz w:val="24"/>
          <w:szCs w:val="24"/>
          <w:lang w:val="ru-RU"/>
        </w:rPr>
        <w:t>Тугулымского</w:t>
      </w:r>
      <w:r>
        <w:rPr>
          <w:rFonts w:eastAsia="Times New Roman" w:ascii="Liberation Serif" w:hAnsi="Liberation Serif"/>
          <w:sz w:val="24"/>
          <w:szCs w:val="24"/>
        </w:rPr>
        <w:t xml:space="preserve"> муниципального округа устанавливается решением Думы </w:t>
      </w:r>
      <w:r>
        <w:rPr>
          <w:rFonts w:eastAsia="Times New Roman" w:ascii="Liberation Serif" w:hAnsi="Liberation Serif"/>
          <w:sz w:val="24"/>
          <w:szCs w:val="24"/>
          <w:lang w:val="ru-RU"/>
        </w:rPr>
        <w:t>Тугулымского</w:t>
      </w:r>
      <w:r>
        <w:rPr>
          <w:rFonts w:eastAsia="Times New Roman" w:ascii="Liberation Serif" w:hAnsi="Liberation Serif"/>
          <w:sz w:val="24"/>
          <w:szCs w:val="24"/>
        </w:rPr>
        <w:t xml:space="preserve"> муниципального округа о бюджете </w:t>
      </w:r>
      <w:r>
        <w:rPr>
          <w:rFonts w:eastAsia="Times New Roman" w:ascii="Liberation Serif" w:hAnsi="Liberation Serif"/>
          <w:sz w:val="24"/>
          <w:szCs w:val="24"/>
          <w:lang w:val="ru-RU"/>
        </w:rPr>
        <w:t>Тугулымского</w:t>
      </w:r>
      <w:r>
        <w:rPr>
          <w:rFonts w:eastAsia="Times New Roman" w:ascii="Liberation Serif" w:hAnsi="Liberation Serif"/>
          <w:sz w:val="24"/>
          <w:szCs w:val="24"/>
        </w:rPr>
        <w:t xml:space="preserve"> муниципального округа на соответствующий финансовый год и плановый период.</w:t>
      </w:r>
    </w:p>
    <w:p>
      <w:pPr>
        <w:pStyle w:val="ConsPlusNormal"/>
        <w:spacing w:lineRule="auto" w:line="240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ru-RU"/>
        </w:rPr>
        <w:tab/>
        <w:t>3</w:t>
      </w:r>
      <w:r>
        <w:rPr>
          <w:rFonts w:ascii="Liberation Serif" w:hAnsi="Liberation Serif"/>
          <w:sz w:val="24"/>
          <w:szCs w:val="24"/>
        </w:rPr>
        <w:t xml:space="preserve">. Средства резервного фонда предусматриваются в расходах местного бюджета по целевой статье 7000020060 «Резервные фонды местных администраций (резервный фонд администрации Тугулымского </w:t>
      </w:r>
      <w:r>
        <w:rPr>
          <w:rFonts w:ascii="Liberation Serif" w:hAnsi="Liberation Serif"/>
          <w:sz w:val="24"/>
          <w:szCs w:val="24"/>
          <w:lang w:val="ru-RU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округа)» подраздела 0111 «Резервные фонды».</w:t>
      </w:r>
    </w:p>
    <w:p>
      <w:pPr>
        <w:pStyle w:val="ConsPlusNormal"/>
        <w:ind w:firstLine="54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ru-RU"/>
        </w:rPr>
        <w:tab/>
        <w:t>4</w:t>
      </w:r>
      <w:r>
        <w:rPr>
          <w:rFonts w:ascii="Liberation Serif" w:hAnsi="Liberation Serif"/>
          <w:sz w:val="24"/>
          <w:szCs w:val="24"/>
        </w:rPr>
        <w:t>. Финансирование расходов из резервного фонда осуществляется за счет средств местного бюджета в пределах выделенных бюджетных ассигнований.</w:t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76" w:before="0" w:after="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ab/>
        <w:t>5</w:t>
      </w:r>
      <w:r>
        <w:rPr>
          <w:rFonts w:eastAsia="Times New Roman" w:ascii="Liberation Serif" w:hAnsi="Liberation Serif"/>
          <w:sz w:val="24"/>
          <w:szCs w:val="24"/>
        </w:rPr>
        <w:t xml:space="preserve">. Резервный фонд </w:t>
      </w:r>
      <w:r>
        <w:rPr>
          <w:rFonts w:eastAsia="Times New Roman" w:ascii="Liberation Serif" w:hAnsi="Liberation Serif"/>
          <w:sz w:val="24"/>
          <w:szCs w:val="24"/>
          <w:lang w:val="ru-RU"/>
        </w:rPr>
        <w:t>а</w:t>
      </w:r>
      <w:r>
        <w:rPr>
          <w:rFonts w:eastAsia="Times New Roman" w:ascii="Liberation Serif" w:hAnsi="Liberation Serif"/>
          <w:sz w:val="24"/>
          <w:szCs w:val="24"/>
        </w:rPr>
        <w:t xml:space="preserve">дминистрации </w:t>
      </w:r>
      <w:r>
        <w:rPr>
          <w:rFonts w:eastAsia="Times New Roman" w:ascii="Liberation Serif" w:hAnsi="Liberation Serif"/>
          <w:sz w:val="24"/>
          <w:szCs w:val="24"/>
          <w:lang w:val="ru-RU"/>
        </w:rPr>
        <w:t>Тугулымского</w:t>
      </w:r>
      <w:r>
        <w:rPr>
          <w:rFonts w:eastAsia="Times New Roman" w:ascii="Liberation Serif" w:hAnsi="Liberation Serif"/>
          <w:sz w:val="24"/>
          <w:szCs w:val="24"/>
        </w:rPr>
        <w:t xml:space="preserve"> муниципального округа </w:t>
      </w:r>
      <w:r>
        <w:rPr>
          <w:rFonts w:eastAsia="Times New Roman" w:ascii="Liberation Serif" w:hAnsi="Liberation Serif"/>
          <w:sz w:val="24"/>
          <w:szCs w:val="24"/>
          <w:lang w:val="ru-RU"/>
        </w:rPr>
        <w:t>определяется</w:t>
      </w:r>
      <w:r>
        <w:rPr>
          <w:rFonts w:eastAsia="Times New Roman" w:ascii="Liberation Serif" w:hAnsi="Liberation Serif"/>
          <w:sz w:val="24"/>
          <w:szCs w:val="24"/>
        </w:rPr>
        <w:t xml:space="preserve"> для финансового обеспечения непредвиденных расходов, в том числе на проведение аварийно-восстановительных работ и иных меропр</w:t>
      </w:r>
      <w:bookmarkStart w:id="1" w:name="_GoBack"/>
      <w:bookmarkEnd w:id="1"/>
      <w:r>
        <w:rPr>
          <w:rFonts w:eastAsia="Times New Roman" w:ascii="Liberation Serif" w:hAnsi="Liberation Serif"/>
          <w:sz w:val="24"/>
          <w:szCs w:val="24"/>
        </w:rPr>
        <w:t xml:space="preserve">иятий, связанных с ликвидацией последствий стихийных бедствий и других чрезвычайных ситуаций на территории 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Тугулымского </w:t>
      </w:r>
      <w:r>
        <w:rPr>
          <w:rFonts w:eastAsia="Times New Roman" w:ascii="Liberation Serif" w:hAnsi="Liberation Serif"/>
          <w:sz w:val="24"/>
          <w:szCs w:val="24"/>
        </w:rPr>
        <w:t xml:space="preserve"> муниципального округа.</w:t>
      </w:r>
    </w:p>
    <w:p>
      <w:pPr>
        <w:pStyle w:val="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 w:before="0" w:after="0"/>
        <w:ind w:firstLineChars="20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</w:rPr>
        <w:tab/>
        <w:t>К иным мероприятиям, на финансовое обеспечение которых выделяются средства резервного фонда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  администрации Тугулымского муниципального округа относятся:</w:t>
      </w:r>
    </w:p>
    <w:p>
      <w:pPr>
        <w:pStyle w:val="ConsPlus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проведение ремонтных и восстановительных работ на объектах жилищно-коммунального хозяйства, социальной сферы, носящих неотложный характер;</w:t>
      </w:r>
    </w:p>
    <w:p>
      <w:pPr>
        <w:pStyle w:val="ConsPlus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проведение экстренных противопожарных, противоэпидемических мероприятий;</w:t>
      </w:r>
    </w:p>
    <w:p>
      <w:pPr>
        <w:pStyle w:val="ConsPlusNormal"/>
        <w:keepNext w:val="false"/>
        <w:keepLines w:val="false"/>
        <w:pageBreakBefore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- иные непредвиденные и неотложные расходы, связанные с исполнением полномочий по решению вопросов местного значения.</w:t>
      </w:r>
    </w:p>
    <w:p>
      <w:pPr>
        <w:pStyle w:val="ConsPlusNormal"/>
        <w:keepNext w:val="false"/>
        <w:keepLines w:val="false"/>
        <w:pageBreakBefore w:val="false"/>
        <w:widowControl w:val="false"/>
        <w:numPr>
          <w:ilvl w:val="0"/>
          <w:numId w:val="0"/>
        </w:numPr>
        <w:overflowPunct w:val="false"/>
        <w:bidi w:val="0"/>
        <w:snapToGrid w:val="true"/>
        <w:spacing w:lineRule="auto" w:line="240"/>
        <w:ind w:firstLineChars="250" w:start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ru-RU"/>
        </w:rPr>
        <w:tab/>
        <w:t>6. Предоставление</w:t>
      </w:r>
      <w:r>
        <w:rPr>
          <w:rFonts w:ascii="Liberation Serif" w:hAnsi="Liberation Serif"/>
          <w:sz w:val="24"/>
          <w:szCs w:val="24"/>
        </w:rPr>
        <w:t xml:space="preserve"> бюджетных ассигнований из резервного фонда администрации Тугулымского </w:t>
      </w:r>
      <w:r>
        <w:rPr>
          <w:rFonts w:ascii="Liberation Serif" w:hAnsi="Liberation Serif"/>
          <w:sz w:val="24"/>
          <w:szCs w:val="24"/>
          <w:lang w:val="ru-RU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 для предупреждения и ликвидации чрезвычайных ситуаций и последствий стихийных бедствий осуществляется в соответствии с постановлением администрации Тугулымского </w:t>
      </w:r>
      <w:r>
        <w:rPr>
          <w:rFonts w:ascii="Liberation Serif" w:hAnsi="Liberation Serif"/>
          <w:sz w:val="24"/>
          <w:szCs w:val="24"/>
          <w:lang w:val="ru-RU"/>
        </w:rPr>
        <w:t xml:space="preserve">муниципального </w:t>
      </w:r>
      <w:r>
        <w:rPr>
          <w:rFonts w:ascii="Liberation Serif" w:hAnsi="Liberation Serif"/>
          <w:sz w:val="24"/>
          <w:szCs w:val="24"/>
        </w:rPr>
        <w:t xml:space="preserve"> округа от </w:t>
      </w:r>
      <w:r>
        <w:rPr>
          <w:rFonts w:ascii="Liberation Serif" w:hAnsi="Liberation Serif"/>
          <w:sz w:val="24"/>
          <w:szCs w:val="24"/>
          <w:lang w:val="ru-RU"/>
        </w:rPr>
        <w:t xml:space="preserve">31.05.2025г. </w:t>
      </w:r>
      <w:r>
        <w:rPr>
          <w:rFonts w:ascii="Liberation Serif" w:hAnsi="Liberation Serif"/>
          <w:sz w:val="24"/>
          <w:szCs w:val="24"/>
        </w:rPr>
        <w:t xml:space="preserve"> № </w:t>
      </w:r>
      <w:r>
        <w:rPr>
          <w:rFonts w:ascii="Liberation Serif" w:hAnsi="Liberation Serif"/>
          <w:sz w:val="24"/>
          <w:szCs w:val="24"/>
          <w:lang w:val="ru-RU"/>
        </w:rPr>
        <w:t>74</w:t>
      </w:r>
      <w:r>
        <w:rPr>
          <w:rFonts w:ascii="Liberation Serif" w:hAnsi="Liberation Serif"/>
          <w:sz w:val="24"/>
          <w:szCs w:val="24"/>
        </w:rPr>
        <w:t xml:space="preserve"> «Об утверждении Правил выделения бюджетных ассигнований из резервного фонда администрации Тугулымского </w:t>
      </w:r>
      <w:r>
        <w:rPr>
          <w:rFonts w:ascii="Liberation Serif" w:hAnsi="Liberation Serif"/>
          <w:sz w:val="24"/>
          <w:szCs w:val="24"/>
          <w:lang w:val="ru-RU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 для предупреждения и ликвидации чрезвычайных ситуаций природного и техногенного характера».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firstLineChars="200" w:start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ab/>
        <w:t xml:space="preserve">7. </w:t>
      </w:r>
      <w:r>
        <w:rPr>
          <w:rFonts w:eastAsia="Times New Roman" w:ascii="Liberation Serif" w:hAnsi="Liberation Serif"/>
          <w:sz w:val="24"/>
          <w:szCs w:val="24"/>
        </w:rPr>
        <w:t>Решени</w:t>
      </w:r>
      <w:r>
        <w:rPr>
          <w:rFonts w:eastAsia="Times New Roman" w:ascii="Liberation Serif" w:hAnsi="Liberation Serif"/>
          <w:sz w:val="24"/>
          <w:szCs w:val="24"/>
          <w:lang w:val="ru-RU"/>
        </w:rPr>
        <w:t>я</w:t>
      </w:r>
      <w:r>
        <w:rPr>
          <w:rFonts w:eastAsia="Times New Roman" w:ascii="Liberation Serif" w:hAnsi="Liberation Serif"/>
          <w:sz w:val="24"/>
          <w:szCs w:val="24"/>
        </w:rPr>
        <w:t xml:space="preserve"> о выделении средств из резервного фонда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 администрации Тугулымского муниципального округа</w:t>
      </w:r>
      <w:r>
        <w:rPr>
          <w:rFonts w:eastAsia="Times New Roman" w:ascii="Liberation Serif" w:hAnsi="Liberation Serif"/>
          <w:sz w:val="24"/>
          <w:szCs w:val="24"/>
        </w:rPr>
        <w:t xml:space="preserve"> </w:t>
      </w:r>
      <w:r>
        <w:rPr>
          <w:rFonts w:eastAsia="Times New Roman" w:ascii="Liberation Serif" w:hAnsi="Liberation Serif"/>
          <w:sz w:val="24"/>
          <w:szCs w:val="24"/>
          <w:lang w:val="ru-RU"/>
        </w:rPr>
        <w:t>издаются</w:t>
      </w:r>
      <w:r>
        <w:rPr>
          <w:rFonts w:eastAsia="Times New Roman" w:ascii="Liberation Serif" w:hAnsi="Liberation Serif"/>
          <w:sz w:val="24"/>
          <w:szCs w:val="24"/>
        </w:rPr>
        <w:t xml:space="preserve"> в форме </w:t>
      </w:r>
      <w:r>
        <w:rPr>
          <w:rFonts w:eastAsia="Times New Roman" w:ascii="Liberation Serif" w:hAnsi="Liberation Serif"/>
          <w:sz w:val="24"/>
          <w:szCs w:val="24"/>
          <w:lang w:val="ru-RU"/>
        </w:rPr>
        <w:t>распоряжений а</w:t>
      </w:r>
      <w:r>
        <w:rPr>
          <w:rFonts w:eastAsia="Times New Roman" w:ascii="Liberation Serif" w:hAnsi="Liberation Serif"/>
          <w:sz w:val="24"/>
          <w:szCs w:val="24"/>
        </w:rPr>
        <w:t xml:space="preserve">дминистрации 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Тугулымского </w:t>
      </w:r>
      <w:r>
        <w:rPr>
          <w:rFonts w:eastAsia="Times New Roman" w:ascii="Liberation Serif" w:hAnsi="Liberation Serif"/>
          <w:sz w:val="24"/>
          <w:szCs w:val="24"/>
        </w:rPr>
        <w:t xml:space="preserve"> муниципального округа с указанием размера выделяемых средств, целевого направления их расходования, Главного распорядителя бюджетных средств, в распоряжени</w:t>
      </w:r>
      <w:r>
        <w:rPr>
          <w:rFonts w:eastAsia="Times New Roman" w:ascii="Liberation Serif" w:hAnsi="Liberation Serif"/>
          <w:sz w:val="24"/>
          <w:szCs w:val="24"/>
          <w:lang w:val="ru-RU"/>
        </w:rPr>
        <w:t>е</w:t>
      </w:r>
      <w:r>
        <w:rPr>
          <w:rFonts w:eastAsia="Times New Roman" w:ascii="Liberation Serif" w:hAnsi="Liberation Serif"/>
          <w:sz w:val="24"/>
          <w:szCs w:val="24"/>
        </w:rPr>
        <w:t xml:space="preserve"> которого выделяются из резервного фонда.</w:t>
      </w:r>
    </w:p>
    <w:p>
      <w:pPr>
        <w:pStyle w:val="Normal"/>
        <w:keepNext w:val="false"/>
        <w:keepLines w:val="false"/>
        <w:pageBreakBefore w:val="false"/>
        <w:widowControl/>
        <w:numPr>
          <w:ilvl w:val="0"/>
          <w:numId w:val="0"/>
        </w:numPr>
        <w:overflowPunct w:val="false"/>
        <w:bidi w:val="0"/>
        <w:snapToGrid w:val="true"/>
        <w:spacing w:lineRule="auto" w:line="240" w:before="0" w:after="0"/>
        <w:ind w:firstLineChars="200" w:start="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ru-RU"/>
        </w:rPr>
        <w:tab/>
        <w:t xml:space="preserve">8. </w:t>
      </w:r>
      <w:r>
        <w:rPr>
          <w:rFonts w:ascii="Liberation Serif" w:hAnsi="Liberation Serif"/>
          <w:sz w:val="24"/>
          <w:szCs w:val="24"/>
        </w:rPr>
        <w:t xml:space="preserve">Обращение к главе Тугулымского </w:t>
      </w:r>
      <w:r>
        <w:rPr>
          <w:rFonts w:ascii="Liberation Serif" w:hAnsi="Liberation Serif"/>
          <w:sz w:val="24"/>
          <w:szCs w:val="24"/>
          <w:lang w:val="ru-RU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 по вопросу выделения бюджетных ассигнований из резервного фонда администрации Тугулымского </w:t>
      </w:r>
      <w:r>
        <w:rPr>
          <w:rFonts w:ascii="Liberation Serif" w:hAnsi="Liberation Serif"/>
          <w:sz w:val="24"/>
          <w:szCs w:val="24"/>
          <w:lang w:val="ru-RU"/>
        </w:rPr>
        <w:t xml:space="preserve">муниципального </w:t>
      </w:r>
      <w:r>
        <w:rPr>
          <w:rFonts w:ascii="Liberation Serif" w:hAnsi="Liberation Serif"/>
          <w:sz w:val="24"/>
          <w:szCs w:val="24"/>
        </w:rPr>
        <w:t>округа должно быть оформлено в письменной форме</w:t>
      </w:r>
      <w:r>
        <w:rPr>
          <w:rFonts w:ascii="Liberation Serif" w:hAnsi="Liberation Serif"/>
          <w:sz w:val="24"/>
          <w:szCs w:val="24"/>
          <w:lang w:val="ru-RU"/>
        </w:rPr>
        <w:t>,</w:t>
      </w:r>
      <w:r>
        <w:rPr>
          <w:rFonts w:ascii="Liberation Serif" w:hAnsi="Liberation Serif"/>
          <w:sz w:val="24"/>
          <w:szCs w:val="24"/>
        </w:rPr>
        <w:t xml:space="preserve"> содержать информацию о размере запрашиваемых средств, направлении их расходования с обоснованием непредвиденности и необходимости осуществления расходов</w:t>
      </w:r>
      <w:r>
        <w:rPr>
          <w:rFonts w:ascii="Liberation Serif" w:hAnsi="Liberation Serif"/>
          <w:sz w:val="24"/>
          <w:szCs w:val="24"/>
          <w:lang w:val="ru-RU"/>
        </w:rPr>
        <w:t xml:space="preserve">, </w:t>
      </w:r>
      <w:r>
        <w:rPr>
          <w:rFonts w:eastAsia="Times New Roman" w:ascii="Liberation Serif" w:hAnsi="Liberation Serif"/>
          <w:sz w:val="24"/>
          <w:szCs w:val="24"/>
        </w:rPr>
        <w:t xml:space="preserve">а также документов, обосновывающих размер запрашиваемых денежных средств, включая сметно-финансовые расчеты, а 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при </w:t>
      </w:r>
      <w:r>
        <w:rPr>
          <w:rFonts w:eastAsia="Times New Roman" w:ascii="Liberation Serif" w:hAnsi="Liberation Serif"/>
          <w:sz w:val="24"/>
          <w:szCs w:val="24"/>
        </w:rPr>
        <w:t xml:space="preserve"> необходимости - заключений комиссий, экспертов и т.д.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Chars="250"/>
        <w:jc w:val="both"/>
        <w:textAlignment w:val="auto"/>
        <w:rPr/>
      </w:pPr>
      <w:r>
        <w:rPr>
          <w:rFonts w:eastAsia="Times New Roman" w:ascii="Liberation Serif" w:hAnsi="Liberation Serif"/>
          <w:sz w:val="24"/>
          <w:szCs w:val="24"/>
          <w:lang w:val="ru-RU"/>
        </w:rPr>
        <w:tab/>
        <w:t xml:space="preserve">9. </w:t>
      </w:r>
      <w:r>
        <w:rPr>
          <w:rFonts w:ascii="Liberation Serif" w:hAnsi="Liberation Serif"/>
          <w:sz w:val="24"/>
          <w:szCs w:val="24"/>
        </w:rPr>
        <w:t xml:space="preserve">Для рассмотрения обращения о выделении средств из резервного фонда администрации Тугулымского </w:t>
      </w:r>
      <w:r>
        <w:rPr>
          <w:rFonts w:ascii="Liberation Serif" w:hAnsi="Liberation Serif"/>
          <w:sz w:val="24"/>
          <w:szCs w:val="24"/>
          <w:lang w:val="ru-RU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 на финансовое обеспечение иных мероприятий, предусмотренных </w:t>
      </w:r>
      <w:hyperlink w:anchor="P43">
        <w:r>
          <w:rPr>
            <w:rStyle w:val="Style9"/>
            <w:rFonts w:ascii="Liberation Serif" w:hAnsi="Liberation Serif"/>
            <w:sz w:val="24"/>
            <w:szCs w:val="24"/>
          </w:rPr>
          <w:t xml:space="preserve">пунктом </w:t>
        </w:r>
      </w:hyperlink>
      <w:r>
        <w:rPr>
          <w:rFonts w:ascii="Liberation Serif" w:hAnsi="Liberation Serif"/>
          <w:sz w:val="24"/>
          <w:szCs w:val="24"/>
          <w:lang w:val="ru-RU"/>
        </w:rPr>
        <w:t>3</w:t>
      </w:r>
      <w:r>
        <w:rPr>
          <w:rFonts w:ascii="Liberation Serif" w:hAnsi="Liberation Serif"/>
          <w:sz w:val="24"/>
          <w:szCs w:val="24"/>
        </w:rPr>
        <w:t xml:space="preserve"> настоящего Порядка, должны быть представлены следующие документы (по направлению расходования):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- заявления (ходатайства) заявителей, либо лиц, являющихся законными представителями заявителей, на получение единовременной помощи;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- документы, подтверждающие факт события, требующего непредвиденных расходов;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- локальный сметный расчет на проведение ремонтных и восстановительных и (или) иных неотложных работ;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  <w:lang w:val="ru-RU"/>
        </w:rPr>
        <w:t xml:space="preserve">          </w:t>
      </w:r>
      <w:r>
        <w:rPr>
          <w:rFonts w:cs="Times New Roman" w:ascii="Liberation Serif" w:hAnsi="Liberation Serif"/>
          <w:sz w:val="24"/>
          <w:szCs w:val="24"/>
          <w:lang w:val="ru-RU"/>
        </w:rPr>
        <w:t xml:space="preserve">- </w:t>
      </w:r>
      <w:r>
        <w:rPr>
          <w:rFonts w:eastAsia="Calibri" w:cs="Times New Roman" w:ascii="Liberation Serif" w:hAnsi="Liberation Serif"/>
          <w:sz w:val="24"/>
          <w:szCs w:val="24"/>
        </w:rPr>
        <w:t xml:space="preserve"> </w:t>
      </w:r>
      <w:r>
        <w:rPr>
          <w:rFonts w:eastAsia="Calibri" w:cs="Times New Roman" w:ascii="Liberation Serif" w:hAnsi="Liberation Serif"/>
          <w:sz w:val="24"/>
          <w:szCs w:val="24"/>
          <w:lang w:val="ru-RU"/>
        </w:rPr>
        <w:t>о</w:t>
      </w:r>
      <w:r>
        <w:rPr>
          <w:rFonts w:eastAsia="Calibri" w:cs="Times New Roman" w:ascii="Liberation Serif" w:hAnsi="Liberation Serif"/>
          <w:sz w:val="24"/>
          <w:szCs w:val="24"/>
        </w:rPr>
        <w:t>боснование начальной (максимальной) цены контракта (договора) в соответствии с требованиями законодательства о контрактной системе в сфере закупок товаров, работ, услуг для обеспечения государственных и муниципальных нужд (при необходимости)</w:t>
      </w:r>
      <w:r>
        <w:rPr>
          <w:rFonts w:eastAsia="Calibri" w:cs="Times New Roman" w:ascii="Liberation Serif" w:hAnsi="Liberation Serif"/>
          <w:sz w:val="24"/>
          <w:szCs w:val="24"/>
          <w:lang w:val="ru-RU"/>
        </w:rPr>
        <w:t>;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- расчеты (сметы расходов), обосновывающие размер запрашиваемых средств;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- фото- и (или) видеодокументы;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- иные подтверждающие документы (по требованию).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39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ab/>
        <w:t xml:space="preserve">10. </w:t>
      </w:r>
      <w:r>
        <w:rPr>
          <w:rFonts w:ascii="Liberation Serif" w:hAnsi="Liberation Serif"/>
          <w:sz w:val="24"/>
          <w:szCs w:val="24"/>
        </w:rPr>
        <w:t>Ответственность за достоверность представленных сведений и документов несет лицо, их представившее.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39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  <w:lang w:val="ru-RU"/>
        </w:rPr>
        <w:tab/>
        <w:t xml:space="preserve">11. </w:t>
      </w:r>
      <w:r>
        <w:rPr>
          <w:rFonts w:ascii="Liberation Serif" w:hAnsi="Liberation Serif"/>
          <w:sz w:val="24"/>
          <w:szCs w:val="24"/>
        </w:rPr>
        <w:t xml:space="preserve">Решения о выделении средств из резервного фонда издаются в форме распоряжений администрации Тугулымского </w:t>
      </w:r>
      <w:r>
        <w:rPr>
          <w:rFonts w:ascii="Liberation Serif" w:hAnsi="Liberation Serif"/>
          <w:sz w:val="24"/>
          <w:szCs w:val="24"/>
          <w:lang w:val="ru-RU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 с указанием размера выделяемых средств, целевого направления их расходования, главного распорядителя (распорядителя) средств местного бюджета, в распоряжение которого выделяются средства из резервного фонда. Подготовку проектов указанных распоряжений осуществляют главные распорядители (распорядители) бюджетных средств (по направлению расходования средств) в соответствии с решением главы Тугулымского </w:t>
      </w:r>
      <w:r>
        <w:rPr>
          <w:rFonts w:ascii="Liberation Serif" w:hAnsi="Liberation Serif"/>
          <w:sz w:val="24"/>
          <w:szCs w:val="24"/>
          <w:lang w:val="ru-RU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округа.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39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lang w:val="ru-RU"/>
        </w:rPr>
        <w:tab/>
        <w:t xml:space="preserve">12. </w:t>
      </w:r>
      <w:r>
        <w:rPr>
          <w:rFonts w:ascii="Liberation Serif" w:hAnsi="Liberation Serif"/>
          <w:sz w:val="24"/>
          <w:szCs w:val="24"/>
        </w:rPr>
        <w:t>Средства местного бюджета, выделяемые из резервного фонда, подлежат использованию строго по целевому назначению и не могут быть направлены на иные цели. Нецелевое использование средств резервного фонда влечет за собой ответственность, установленную законодательством Российской Федерации.</w:t>
      </w:r>
    </w:p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uto" w:line="240" w:before="0" w:after="0"/>
        <w:ind w:firstLineChars="250"/>
        <w:jc w:val="both"/>
        <w:textAlignment w:val="auto"/>
        <w:rPr/>
      </w:pPr>
      <w:r>
        <w:rPr>
          <w:rFonts w:ascii="Liberation Serif" w:hAnsi="Liberation Serif"/>
          <w:sz w:val="24"/>
          <w:szCs w:val="24"/>
          <w:lang w:val="ru-RU"/>
        </w:rPr>
        <w:tab/>
        <w:t xml:space="preserve">13. </w:t>
      </w:r>
      <w:r>
        <w:rPr>
          <w:rFonts w:ascii="Liberation Serif" w:hAnsi="Liberation Serif"/>
          <w:sz w:val="24"/>
          <w:szCs w:val="24"/>
        </w:rPr>
        <w:t>Главные распорядители бюджетных средств, в распоряжение которых выделены средства резервного фонда</w:t>
      </w:r>
      <w:r>
        <w:rPr>
          <w:rFonts w:ascii="Liberation Serif" w:hAnsi="Liberation Serif"/>
          <w:sz w:val="24"/>
          <w:szCs w:val="24"/>
          <w:lang w:val="ru-RU"/>
        </w:rPr>
        <w:t xml:space="preserve"> администрации Тугулымского муниципального округа</w:t>
      </w:r>
      <w:r>
        <w:rPr>
          <w:rFonts w:ascii="Liberation Serif" w:hAnsi="Liberation Serif"/>
          <w:sz w:val="24"/>
          <w:szCs w:val="24"/>
        </w:rPr>
        <w:t xml:space="preserve">, </w:t>
      </w:r>
      <w:r>
        <w:rPr>
          <w:rFonts w:eastAsia="Times New Roman" w:ascii="Liberation Serif" w:hAnsi="Liberation Serif"/>
          <w:sz w:val="24"/>
          <w:szCs w:val="24"/>
        </w:rPr>
        <w:t>обеспечивают целевое использование указанных средств и несут ответственность за достоверность сведений в соответствии с действующим законодательством Российской Федерации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  </w:t>
      </w:r>
      <w:r>
        <w:rPr>
          <w:rFonts w:eastAsia="Times New Roman" w:ascii="Liberation Serif" w:hAnsi="Liberation Serif"/>
          <w:sz w:val="24"/>
          <w:szCs w:val="24"/>
        </w:rPr>
        <w:t xml:space="preserve">и </w:t>
      </w:r>
      <w:r>
        <w:rPr>
          <w:rFonts w:ascii="Liberation Serif" w:hAnsi="Liberation Serif"/>
          <w:sz w:val="24"/>
          <w:szCs w:val="24"/>
        </w:rPr>
        <w:t xml:space="preserve">одновременно с квартальной отчетностью </w:t>
      </w:r>
      <w:r>
        <w:rPr>
          <w:rFonts w:eastAsia="Times New Roman" w:ascii="Liberation Serif" w:hAnsi="Liberation Serif"/>
          <w:sz w:val="24"/>
          <w:szCs w:val="24"/>
        </w:rPr>
        <w:t xml:space="preserve"> представляют в Финансовое управление </w:t>
      </w:r>
      <w:r>
        <w:rPr>
          <w:rFonts w:eastAsia="Times New Roman" w:ascii="Liberation Serif" w:hAnsi="Liberation Serif"/>
          <w:sz w:val="24"/>
          <w:szCs w:val="24"/>
          <w:lang w:val="ru-RU"/>
        </w:rPr>
        <w:t>а</w:t>
      </w:r>
      <w:r>
        <w:rPr>
          <w:rFonts w:eastAsia="Times New Roman" w:ascii="Liberation Serif" w:hAnsi="Liberation Serif"/>
          <w:sz w:val="24"/>
          <w:szCs w:val="24"/>
        </w:rPr>
        <w:t xml:space="preserve">дминистрации 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Тугулымского </w:t>
      </w:r>
      <w:r>
        <w:rPr>
          <w:rFonts w:eastAsia="Times New Roman" w:ascii="Liberation Serif" w:hAnsi="Liberation Serif"/>
          <w:sz w:val="24"/>
          <w:szCs w:val="24"/>
        </w:rPr>
        <w:t xml:space="preserve">муниципального округа </w:t>
      </w:r>
      <w:hyperlink r:id="rId4">
        <w:r>
          <w:rPr>
            <w:rStyle w:val="Style9"/>
            <w:rFonts w:eastAsia="Times New Roman" w:ascii="Liberation Serif" w:hAnsi="Liberation Serif"/>
            <w:color w:val="0000FF"/>
            <w:sz w:val="24"/>
            <w:szCs w:val="24"/>
          </w:rPr>
          <w:t>отчет</w:t>
        </w:r>
      </w:hyperlink>
      <w:r>
        <w:rPr>
          <w:rFonts w:eastAsia="Times New Roman" w:ascii="Liberation Serif" w:hAnsi="Liberation Serif"/>
          <w:sz w:val="24"/>
          <w:szCs w:val="24"/>
        </w:rPr>
        <w:t xml:space="preserve"> об использовании бюджетных ассигнований резервного фонда по форме согласно Приложению</w:t>
      </w:r>
      <w:r>
        <w:rPr>
          <w:rFonts w:eastAsia="Times New Roman" w:ascii="Liberation Serif" w:hAnsi="Liberation Serif"/>
          <w:sz w:val="24"/>
          <w:szCs w:val="24"/>
          <w:lang w:val="ru-RU"/>
        </w:rPr>
        <w:t xml:space="preserve"> №1</w:t>
      </w:r>
      <w:r>
        <w:rPr>
          <w:rFonts w:eastAsia="Times New Roman" w:ascii="Liberation Serif" w:hAnsi="Liberation Serif"/>
          <w:sz w:val="24"/>
          <w:szCs w:val="24"/>
        </w:rPr>
        <w:t>.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39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</w:t>
      </w:r>
      <w:r>
        <w:rPr>
          <w:rFonts w:ascii="Liberation Serif" w:hAnsi="Liberation Serif"/>
          <w:sz w:val="24"/>
          <w:szCs w:val="24"/>
          <w:lang w:val="ru-RU"/>
        </w:rPr>
        <w:t>4</w:t>
      </w:r>
      <w:r>
        <w:rPr>
          <w:rFonts w:ascii="Liberation Serif" w:hAnsi="Liberation Serif"/>
          <w:sz w:val="24"/>
          <w:szCs w:val="24"/>
        </w:rPr>
        <w:t>. При неполном использовании средств резервного фонда остаток неиспользованных средств резервного фонда подлежит возврату в местный бюджет.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</w:t>
      </w:r>
      <w:r>
        <w:rPr>
          <w:rFonts w:ascii="Liberation Serif" w:hAnsi="Liberation Serif"/>
          <w:sz w:val="24"/>
          <w:szCs w:val="24"/>
          <w:lang w:val="ru-RU"/>
        </w:rPr>
        <w:t>5</w:t>
      </w:r>
      <w:r>
        <w:rPr>
          <w:rFonts w:ascii="Liberation Serif" w:hAnsi="Liberation Serif"/>
          <w:sz w:val="24"/>
          <w:szCs w:val="24"/>
        </w:rPr>
        <w:t xml:space="preserve">. Контроль за использованием бюджетных ассигнований резервного фонда осуществляют главные распорядители бюджетных средств, Финансовое управление администрации Тугулымского </w:t>
      </w:r>
      <w:r>
        <w:rPr>
          <w:rFonts w:ascii="Liberation Serif" w:hAnsi="Liberation Serif"/>
          <w:sz w:val="24"/>
          <w:szCs w:val="24"/>
          <w:lang w:val="ru-RU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округа.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40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</w:t>
      </w:r>
      <w:r>
        <w:rPr>
          <w:rFonts w:ascii="Liberation Serif" w:hAnsi="Liberation Serif"/>
          <w:sz w:val="24"/>
          <w:szCs w:val="24"/>
          <w:lang w:val="ru-RU"/>
        </w:rPr>
        <w:t>6</w:t>
      </w:r>
      <w:r>
        <w:rPr>
          <w:rFonts w:ascii="Liberation Serif" w:hAnsi="Liberation Serif"/>
          <w:sz w:val="24"/>
          <w:szCs w:val="24"/>
        </w:rPr>
        <w:t>. При выявлении фактов нецелевого использования выделенных из резервного фонда средств, а также предоставления недостоверных сведений для их получения, указанные средства подлежат возврату в местный бюджет. В случае невозврата средств в установленный срок администрация принимает меры по взысканию, подлежащих возврату средств,  в судебном порядке.</w:t>
      </w:r>
    </w:p>
    <w:p>
      <w:pPr>
        <w:pStyle w:val="ConsPlusNormal"/>
        <w:keepNext w:val="false"/>
        <w:keepLines w:val="false"/>
        <w:pageBreakBefore w:val="false"/>
        <w:widowControl w:val="false"/>
        <w:overflowPunct w:val="false"/>
        <w:bidi w:val="0"/>
        <w:snapToGrid w:val="true"/>
        <w:spacing w:lineRule="auto" w:line="240"/>
        <w:ind w:firstLine="539"/>
        <w:jc w:val="both"/>
        <w:textAlignment w:val="auto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  <w:t>1</w:t>
      </w:r>
      <w:r>
        <w:rPr>
          <w:rFonts w:ascii="Liberation Serif" w:hAnsi="Liberation Serif"/>
          <w:sz w:val="24"/>
          <w:szCs w:val="24"/>
          <w:lang w:val="ru-RU"/>
        </w:rPr>
        <w:t>7</w:t>
      </w:r>
      <w:r>
        <w:rPr>
          <w:rFonts w:ascii="Liberation Serif" w:hAnsi="Liberation Serif"/>
          <w:sz w:val="24"/>
          <w:szCs w:val="24"/>
        </w:rPr>
        <w:t xml:space="preserve">. Получатели бюджетных ассигнований резервного фонда администрации Тугулымского </w:t>
      </w:r>
      <w:r>
        <w:rPr>
          <w:rFonts w:ascii="Liberation Serif" w:hAnsi="Liberation Serif"/>
          <w:sz w:val="24"/>
          <w:szCs w:val="24"/>
          <w:lang w:val="ru-RU"/>
        </w:rPr>
        <w:t>муниципального</w:t>
      </w:r>
      <w:r>
        <w:rPr>
          <w:rFonts w:ascii="Liberation Serif" w:hAnsi="Liberation Serif"/>
          <w:sz w:val="24"/>
          <w:szCs w:val="24"/>
        </w:rPr>
        <w:t xml:space="preserve"> округа несут ответственность за соблюдение условий и целей их предоставления.</w:t>
      </w:r>
    </w:p>
    <w:p>
      <w:pPr>
        <w:pStyle w:val="ConsPlusNormal"/>
        <w:numPr>
          <w:ilvl w:val="0"/>
          <w:numId w:val="0"/>
        </w:numPr>
        <w:ind w:hanging="0" w:start="0"/>
        <w:jc w:val="end"/>
        <w:outlineLvl w:val="1"/>
        <w:rPr>
          <w:rFonts w:ascii="Liberation Serif" w:hAnsi="Liberation Serif"/>
          <w:sz w:val="24"/>
          <w:szCs w:val="24"/>
        </w:rPr>
      </w:pPr>
      <w:r>
        <w:rPr>
          <w:rFonts w:ascii="Times New Roman" w:hAnsi="Times New Roman"/>
          <w:lang w:val="ru-RU"/>
        </w:rPr>
      </w:r>
    </w:p>
    <w:p>
      <w:pPr>
        <w:pStyle w:val="ConsPlusNormal"/>
        <w:numPr>
          <w:ilvl w:val="0"/>
          <w:numId w:val="0"/>
        </w:numPr>
        <w:ind w:hanging="0" w:start="0"/>
        <w:jc w:val="end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>Приложение N 1</w:t>
      </w:r>
    </w:p>
    <w:p>
      <w:pPr>
        <w:pStyle w:val="ConsPlus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>к Порядку использования</w:t>
      </w:r>
    </w:p>
    <w:p>
      <w:pPr>
        <w:pStyle w:val="ConsPlus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>бюджетных ассигнований</w:t>
      </w:r>
    </w:p>
    <w:p>
      <w:pPr>
        <w:pStyle w:val="ConsPlus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>резервного фонда администрации</w:t>
      </w:r>
    </w:p>
    <w:p>
      <w:pPr>
        <w:pStyle w:val="ConsPlusNormal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Тугулымского </w:t>
      </w:r>
      <w:r>
        <w:rPr>
          <w:rFonts w:ascii="Liberation Serif" w:hAnsi="Liberation Serif"/>
          <w:lang w:val="ru-RU"/>
        </w:rPr>
        <w:t>муниципального</w:t>
      </w:r>
      <w:r>
        <w:rPr>
          <w:rFonts w:ascii="Liberation Serif" w:hAnsi="Liberation Serif"/>
        </w:rPr>
        <w:t xml:space="preserve"> округа </w:t>
      </w:r>
    </w:p>
    <w:p>
      <w:pPr>
        <w:pStyle w:val="ConsPlus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  <w:bookmarkStart w:id="2" w:name="P93"/>
      <w:bookmarkStart w:id="3" w:name="P93"/>
      <w:bookmarkEnd w:id="3"/>
    </w:p>
    <w:p>
      <w:pPr>
        <w:pStyle w:val="ConsPlus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ConsPlus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ОТЧЕТ</w:t>
      </w:r>
    </w:p>
    <w:p>
      <w:pPr>
        <w:pStyle w:val="ConsPlus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об использовании бюджетных ассигнований резервного фонда</w:t>
      </w:r>
    </w:p>
    <w:p>
      <w:pPr>
        <w:pStyle w:val="ConsPlus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администрации Тугулымского </w:t>
      </w:r>
      <w:r>
        <w:rPr>
          <w:rFonts w:ascii="Liberation Serif" w:hAnsi="Liberation Serif"/>
          <w:lang w:val="ru-RU"/>
        </w:rPr>
        <w:t>муниципального</w:t>
      </w:r>
      <w:r>
        <w:rPr>
          <w:rFonts w:ascii="Liberation Serif" w:hAnsi="Liberation Serif"/>
        </w:rPr>
        <w:t xml:space="preserve"> округа </w:t>
      </w:r>
      <w:r>
        <w:rPr>
          <w:rFonts w:ascii="Liberation Serif" w:hAnsi="Liberation Serif"/>
          <w:lang w:val="ru-RU"/>
        </w:rPr>
        <w:t>Свердловской области</w:t>
      </w:r>
    </w:p>
    <w:p>
      <w:pPr>
        <w:pStyle w:val="ConsPlus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за __________________</w:t>
      </w:r>
    </w:p>
    <w:p>
      <w:pPr>
        <w:pStyle w:val="ConsPlus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(период)</w:t>
      </w:r>
    </w:p>
    <w:p>
      <w:pPr>
        <w:pStyle w:val="ConsPlusNormal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"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Наименование главного распорядителя (распорядителя) средств местного бюджета, предоставившего средства из резервного фонда администрации Тугулымского </w:t>
      </w:r>
      <w:r>
        <w:rPr>
          <w:rFonts w:ascii="Liberation Serif" w:hAnsi="Liberation Serif"/>
          <w:lang w:val="ru-RU"/>
        </w:rPr>
        <w:t>муниципального</w:t>
      </w:r>
      <w:r>
        <w:rPr>
          <w:rFonts w:ascii="Liberation Serif" w:hAnsi="Liberation Serif"/>
        </w:rPr>
        <w:t xml:space="preserve"> округа       </w:t>
      </w:r>
    </w:p>
    <w:p>
      <w:pPr>
        <w:pStyle w:val="ConsPlus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</w:t>
      </w:r>
    </w:p>
    <w:p>
      <w:pPr>
        <w:pStyle w:val="ConsPlus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Style w:val="3"/>
        <w:tblpPr w:vertAnchor="text" w:horzAnchor="text" w:leftFromText="180" w:rightFromText="180" w:tblpX="-293" w:tblpY="1"/>
        <w:tblOverlap w:val="never"/>
        <w:tblW w:w="10035" w:type="dxa"/>
        <w:jc w:val="start"/>
        <w:tblInd w:w="62" w:type="dxa"/>
        <w:tblLayout w:type="fixed"/>
        <w:tblCellMar>
          <w:top w:w="102" w:type="dxa"/>
          <w:start w:w="62" w:type="dxa"/>
          <w:bottom w:w="102" w:type="dxa"/>
          <w:end w:w="62" w:type="dxa"/>
        </w:tblCellMar>
      </w:tblPr>
      <w:tblGrid>
        <w:gridCol w:w="684"/>
        <w:gridCol w:w="849"/>
        <w:gridCol w:w="963"/>
        <w:gridCol w:w="392"/>
        <w:gridCol w:w="743"/>
        <w:gridCol w:w="1300"/>
        <w:gridCol w:w="283"/>
        <w:gridCol w:w="852"/>
        <w:gridCol w:w="1301"/>
        <w:gridCol w:w="1248"/>
        <w:gridCol w:w="339"/>
        <w:gridCol w:w="59"/>
        <w:gridCol w:w="1022"/>
      </w:tblGrid>
      <w:tr>
        <w:trPr/>
        <w:tc>
          <w:tcPr>
            <w:tcW w:w="153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Распоряжение</w:t>
            </w:r>
          </w:p>
        </w:tc>
        <w:tc>
          <w:tcPr>
            <w:tcW w:w="963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Сумма по распоря-жению (рублей)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Целевое назначение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Получатель средств резервного фонда администрации (полное наименование юридического лица, Ф.И.О. физического лица)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Перечислено средств из резервного фонда администрации</w:t>
            </w:r>
          </w:p>
        </w:tc>
        <w:tc>
          <w:tcPr>
            <w:tcW w:w="130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Расход получателя средств из резервного фонда администрации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Остаток на конец отчетного периода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Причины неполного использования средств, сроки окончания выполнения работ</w:t>
            </w:r>
          </w:p>
        </w:tc>
      </w:tr>
      <w:tr>
        <w:trPr>
          <w:trHeight w:val="2014" w:hRule="atLeast"/>
        </w:trPr>
        <w:tc>
          <w:tcPr>
            <w:tcW w:w="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дата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номер</w:t>
            </w:r>
          </w:p>
        </w:tc>
        <w:tc>
          <w:tcPr>
            <w:tcW w:w="963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cs="Times New Roman"/>
                <w:kern w:val="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1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cs="Times New Roman"/>
                <w:kern w:val="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30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cs="Times New Roman"/>
                <w:kern w:val="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135" w:type="dxa"/>
            <w:gridSpan w:val="2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cs="Times New Roman"/>
                <w:kern w:val="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30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cs="Times New Roman"/>
                <w:kern w:val="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248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cs="Times New Roman"/>
                <w:kern w:val="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</w:r>
          </w:p>
        </w:tc>
        <w:tc>
          <w:tcPr>
            <w:tcW w:w="1420" w:type="dxa"/>
            <w:gridSpan w:val="3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rFonts w:ascii="Liberation Serif" w:hAnsi="Liberation Serif" w:cs="Times New Roman"/>
                <w:kern w:val="0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2</w:t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4</w:t>
            </w:r>
          </w:p>
        </w:tc>
        <w:tc>
          <w:tcPr>
            <w:tcW w:w="1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6</w:t>
            </w:r>
          </w:p>
        </w:tc>
        <w:tc>
          <w:tcPr>
            <w:tcW w:w="13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7</w:t>
            </w:r>
          </w:p>
        </w:tc>
        <w:tc>
          <w:tcPr>
            <w:tcW w:w="12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8</w:t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9</w:t>
            </w:r>
          </w:p>
        </w:tc>
      </w:tr>
      <w:tr>
        <w:trPr/>
        <w:tc>
          <w:tcPr>
            <w:tcW w:w="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3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2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</w:tr>
      <w:tr>
        <w:trPr/>
        <w:tc>
          <w:tcPr>
            <w:tcW w:w="68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8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9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3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3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2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tcW w:w="4931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Итого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30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24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  <w:tc>
          <w:tcPr>
            <w:tcW w:w="1420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</w:r>
          </w:p>
        </w:tc>
      </w:tr>
      <w:tr>
        <w:trPr/>
        <w:tc>
          <w:tcPr>
            <w:tcW w:w="2888" w:type="dxa"/>
            <w:gridSpan w:val="4"/>
            <w:tcBorders/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Руководитель</w:t>
            </w:r>
          </w:p>
        </w:tc>
        <w:tc>
          <w:tcPr>
            <w:tcW w:w="2326" w:type="dxa"/>
            <w:gridSpan w:val="3"/>
            <w:tcBorders/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______________</w:t>
            </w:r>
          </w:p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(подпись)</w:t>
            </w:r>
          </w:p>
        </w:tc>
        <w:tc>
          <w:tcPr>
            <w:tcW w:w="3740" w:type="dxa"/>
            <w:gridSpan w:val="4"/>
            <w:tcBorders/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________________________</w:t>
            </w:r>
          </w:p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(расшифровка подписи)</w:t>
            </w:r>
          </w:p>
        </w:tc>
        <w:tc>
          <w:tcPr>
            <w:tcW w:w="5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</w:r>
          </w:p>
        </w:tc>
      </w:tr>
      <w:tr>
        <w:trPr/>
        <w:tc>
          <w:tcPr>
            <w:tcW w:w="2888" w:type="dxa"/>
            <w:gridSpan w:val="4"/>
            <w:tcBorders/>
          </w:tcPr>
          <w:p>
            <w:pPr>
              <w:pStyle w:val="ConsPlusNormal"/>
              <w:suppressAutoHyphens w:val="true"/>
              <w:jc w:val="start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Главный бухгалтер</w:t>
            </w:r>
          </w:p>
        </w:tc>
        <w:tc>
          <w:tcPr>
            <w:tcW w:w="2326" w:type="dxa"/>
            <w:gridSpan w:val="3"/>
            <w:tcBorders/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______________</w:t>
            </w:r>
          </w:p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(подпись)</w:t>
            </w:r>
          </w:p>
        </w:tc>
        <w:tc>
          <w:tcPr>
            <w:tcW w:w="3740" w:type="dxa"/>
            <w:gridSpan w:val="4"/>
            <w:tcBorders/>
          </w:tcPr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________________________</w:t>
            </w:r>
          </w:p>
          <w:p>
            <w:pPr>
              <w:pStyle w:val="ConsPlusNormal"/>
              <w:suppressAutoHyphens w:val="true"/>
              <w:jc w:val="center"/>
              <w:rPr>
                <w:rFonts w:ascii="Liberation Serif" w:hAnsi="Liberation Serif"/>
                <w:kern w:val="0"/>
                <w:szCs w:val="20"/>
              </w:rPr>
            </w:pPr>
            <w:r>
              <w:rPr>
                <w:rFonts w:ascii="Liberation Serif" w:hAnsi="Liberation Serif"/>
                <w:kern w:val="0"/>
                <w:szCs w:val="20"/>
              </w:rPr>
              <w:t>(расшифровка подписи)</w:t>
            </w:r>
          </w:p>
        </w:tc>
        <w:tc>
          <w:tcPr>
            <w:tcW w:w="5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</w:r>
          </w:p>
        </w:tc>
        <w:tc>
          <w:tcPr>
            <w:tcW w:w="102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star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</w:r>
          </w:p>
        </w:tc>
      </w:tr>
    </w:tbl>
    <w:p>
      <w:pPr>
        <w:pStyle w:val="Normal"/>
        <w:keepNext w:val="false"/>
        <w:keepLines w:val="false"/>
        <w:pageBreakBefore w:val="false"/>
        <w:widowControl/>
        <w:overflowPunct w:val="false"/>
        <w:bidi w:val="0"/>
        <w:snapToGrid w:val="true"/>
        <w:spacing w:lineRule="atLeast" w:line="23"/>
        <w:jc w:val="both"/>
        <w:textAlignment w:val="auto"/>
        <w:rPr>
          <w:rFonts w:ascii="Times New Roman" w:hAnsi="Times New Roman" w:eastAsia="Calibri" w:cs="Times New Roman"/>
          <w:b w:val="false"/>
          <w:bCs/>
          <w:kern w:val="2"/>
          <w:sz w:val="24"/>
          <w:szCs w:val="24"/>
          <w:lang w:val="ru-RU"/>
        </w:rPr>
      </w:pPr>
      <w:r>
        <w:rPr>
          <w:rFonts w:eastAsia="Calibri" w:cs="Times New Roman" w:ascii="Times New Roman" w:hAnsi="Times New Roman"/>
          <w:b w:val="false"/>
          <w:bCs/>
          <w:kern w:val="2"/>
          <w:sz w:val="24"/>
          <w:szCs w:val="24"/>
          <w:lang w:val="ru-RU"/>
        </w:rPr>
      </w:r>
    </w:p>
    <w:sectPr>
      <w:type w:val="nextPage"/>
      <w:pgSz w:w="11906" w:h="16838"/>
      <w:pgMar w:left="1434" w:right="850" w:gutter="0" w:header="0" w:top="883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val="bestFit" w:percent="226"/>
  <w:defaultTabStop w:val="708"/>
  <w:autoHyphenation w:val="true"/>
  <w:hyphenationZone w:val="0"/>
  <w:compat>
    <w:doNotExpandShiftReturn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0"/>
      <w:szCs w:val="20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ConsPlusTitle" w:customStyle="1">
    <w:name w:val="ConsPlusTitle"/>
    <w:uiPriority w:val="0"/>
    <w:qFormat/>
    <w:pPr>
      <w:widowControl w:val="false"/>
      <w:suppressAutoHyphens w:val="true"/>
      <w:bidi w:val="0"/>
      <w:spacing w:before="0" w:after="0"/>
      <w:jc w:val="start"/>
    </w:pPr>
    <w:rPr>
      <w:rFonts w:ascii="Calibri" w:hAnsi="Calibri" w:eastAsia="Times New Roman" w:cs="Times New Roman" w:asciiTheme="minorHAnsi" w:hAnsiTheme="minorHAnsi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uiPriority w:val="0"/>
    <w:qFormat/>
    <w:pPr>
      <w:widowControl w:val="false"/>
      <w:suppressAutoHyphens w:val="true"/>
      <w:bidi w:val="0"/>
      <w:spacing w:lineRule="auto" w:line="240" w:before="0" w:after="0"/>
      <w:jc w:val="start"/>
    </w:pPr>
    <w:rPr>
      <w:rFonts w:ascii="Arial" w:hAnsi="Arial" w:eastAsia="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Style16">
    <w:name w:val="Содержимое врезки"/>
    <w:basedOn w:val="Normal"/>
    <w:qFormat/>
    <w:pPr/>
    <w:rPr/>
  </w:style>
  <w:style w:type="paragraph" w:styleId="user2">
    <w:name w:val="Содержимое врезки (user)"/>
    <w:basedOn w:val="Normal"/>
    <w:qFormat/>
    <w:pPr/>
    <w:rPr/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login.consultant.ru/link/?req=doc&amp;base=RZB&amp;n=511241&amp;dst=7296" TargetMode="External"/><Relationship Id="rId4" Type="http://schemas.openxmlformats.org/officeDocument/2006/relationships/hyperlink" Target="https://login.consultant.ru/link/?req=doc&amp;base=RLAW071&amp;n=404492&amp;dst=100034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Application>LibreOffice/25.8.2.2$Linux_X86_64 LibreOffice_project/d401f2107ccab8f924a8e2df40f573aab7605b6f</Application>
  <AppVersion>15.0000</AppVersion>
  <Pages>4</Pages>
  <Words>1034</Words>
  <Characters>8187</Characters>
  <CharactersWithSpaces>9371</CharactersWithSpaces>
  <Paragraphs>94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2025-11-27T08:23:00Z</dcterms:created>
  <dc:creator>Urist</dc:creator>
  <dc:description/>
  <dc:language>ru-RU</dc:language>
  <cp:lastModifiedBy/>
  <cp:lastPrinted>2025-12-08T09:35:22Z</cp:lastPrinted>
  <dcterms:modified xsi:type="dcterms:W3CDTF">2025-12-08T11:47:22Z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10E4314DC52F428083E75344716DC315_12</vt:lpwstr>
  </property>
  <property fmtid="{D5CDD505-2E9C-101B-9397-08002B2CF9AE}" pid="3" name="KSOProductBuildVer">
    <vt:lpwstr>1049-12.2.0.23155</vt:lpwstr>
  </property>
</Properties>
</file>